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C6D1E" w14:textId="77777777" w:rsidR="005B43BC" w:rsidRPr="00671153" w:rsidRDefault="005B43BC" w:rsidP="00671153">
      <w:pPr>
        <w:pStyle w:val="NormlWeb"/>
        <w:jc w:val="both"/>
        <w:rPr>
          <w:rFonts w:ascii="Garamond" w:hAnsi="Garamond"/>
        </w:rPr>
      </w:pPr>
    </w:p>
    <w:p w14:paraId="7B672DF2" w14:textId="77777777" w:rsidR="00671153" w:rsidRDefault="00671153" w:rsidP="00671153">
      <w:pPr>
        <w:pStyle w:val="NormlWeb"/>
        <w:jc w:val="both"/>
        <w:rPr>
          <w:rFonts w:ascii="Garamond" w:hAnsi="Garamond"/>
        </w:rPr>
      </w:pPr>
      <w:r w:rsidRPr="00671153">
        <w:rPr>
          <w:rFonts w:ascii="Garamond" w:hAnsi="Garamond"/>
        </w:rPr>
        <w:t>Az adók módjára behajtandó köztartozások esetében az önkormányzati adóhatóság nem saját ügyében jár el, hanem más hatóság (kimutató szerv) által megállapított fizetési kötelezettséget érvényesít az önkéntes teljesítés elmaradása miatt, végrehajtás eljárás keretében (pl. elővezetési költség). A kimutató szerv megkeresésével indul az eljárás, melyben az önkormányzati adóhatóság feladata a kintlévőség beszedésére korlátozódik.</w:t>
      </w:r>
      <w:r>
        <w:rPr>
          <w:rFonts w:ascii="Garamond" w:hAnsi="Garamond"/>
        </w:rPr>
        <w:t xml:space="preserve"> </w:t>
      </w:r>
    </w:p>
    <w:p w14:paraId="79D6D20A" w14:textId="1843C848" w:rsidR="00671153" w:rsidRPr="00671153" w:rsidRDefault="00671153" w:rsidP="00671153">
      <w:pPr>
        <w:pStyle w:val="NormlWeb"/>
        <w:jc w:val="both"/>
        <w:rPr>
          <w:rFonts w:ascii="Garamond" w:hAnsi="Garamond"/>
        </w:rPr>
      </w:pPr>
      <w:r w:rsidRPr="00671153">
        <w:rPr>
          <w:rFonts w:ascii="Garamond" w:hAnsi="Garamond"/>
        </w:rPr>
        <w:t>Magánszemély esetében a lakóhely szerint illetékes önkormányzati adóhatóság feladata a köztartozás beszedése. Sikeres behajtás esetén, az adók módjára behajtott összeget az adóhatóság soron kívül átutalja a végrehajtást kérő által megjelölt számlaszámra.</w:t>
      </w:r>
    </w:p>
    <w:p w14:paraId="62F201CE" w14:textId="77777777" w:rsidR="00671153" w:rsidRDefault="00671153" w:rsidP="00671153">
      <w:pPr>
        <w:pStyle w:val="NormlWeb"/>
        <w:jc w:val="both"/>
        <w:rPr>
          <w:rStyle w:val="Kiemels2"/>
          <w:rFonts w:ascii="Garamond" w:hAnsi="Garamond"/>
        </w:rPr>
      </w:pPr>
      <w:r w:rsidRPr="00671153">
        <w:rPr>
          <w:rStyle w:val="Kiemels2"/>
          <w:rFonts w:ascii="Garamond" w:hAnsi="Garamond"/>
        </w:rPr>
        <w:t>Jogszabályi háttér</w:t>
      </w:r>
      <w:r>
        <w:rPr>
          <w:rStyle w:val="Kiemels2"/>
          <w:rFonts w:ascii="Garamond" w:hAnsi="Garamond"/>
        </w:rPr>
        <w:t xml:space="preserve"> </w:t>
      </w:r>
    </w:p>
    <w:p w14:paraId="65357F24" w14:textId="77777777" w:rsidR="00671153" w:rsidRDefault="00671153" w:rsidP="00671153">
      <w:pPr>
        <w:pStyle w:val="NormlWeb"/>
        <w:jc w:val="both"/>
        <w:rPr>
          <w:rFonts w:ascii="Garamond" w:hAnsi="Garamond"/>
        </w:rPr>
      </w:pPr>
      <w:r w:rsidRPr="00671153">
        <w:rPr>
          <w:rFonts w:ascii="Garamond" w:hAnsi="Garamond"/>
        </w:rPr>
        <w:t>• Az adóhatóság által foganatosítandó végrehajtási eljárásokról szóló 2017. évi CLIII. törvény,</w:t>
      </w:r>
    </w:p>
    <w:p w14:paraId="23C74DF7" w14:textId="77777777" w:rsidR="00671153" w:rsidRDefault="00671153" w:rsidP="00671153">
      <w:pPr>
        <w:pStyle w:val="NormlWeb"/>
        <w:jc w:val="both"/>
        <w:rPr>
          <w:rFonts w:ascii="Garamond" w:hAnsi="Garamond"/>
        </w:rPr>
      </w:pPr>
      <w:r w:rsidRPr="00671153">
        <w:rPr>
          <w:rFonts w:ascii="Garamond" w:hAnsi="Garamond"/>
        </w:rPr>
        <w:t>• A bírósági végrehajtásról szóló 1994. évi LIII. törvény,</w:t>
      </w:r>
    </w:p>
    <w:p w14:paraId="43C99559" w14:textId="77777777" w:rsidR="00671153" w:rsidRDefault="00671153" w:rsidP="00671153">
      <w:pPr>
        <w:pStyle w:val="NormlWeb"/>
        <w:jc w:val="both"/>
        <w:rPr>
          <w:rFonts w:ascii="Garamond" w:hAnsi="Garamond"/>
        </w:rPr>
      </w:pPr>
      <w:r w:rsidRPr="00671153">
        <w:rPr>
          <w:rFonts w:ascii="Garamond" w:hAnsi="Garamond"/>
        </w:rPr>
        <w:t>• Az adózás rendjéről szóló 2017. évi CL. törvény,</w:t>
      </w:r>
    </w:p>
    <w:p w14:paraId="4E8C4C97" w14:textId="77777777" w:rsidR="00671153" w:rsidRDefault="00671153" w:rsidP="00671153">
      <w:pPr>
        <w:pStyle w:val="NormlWeb"/>
        <w:jc w:val="both"/>
        <w:rPr>
          <w:rFonts w:ascii="Garamond" w:hAnsi="Garamond"/>
        </w:rPr>
      </w:pPr>
      <w:r w:rsidRPr="00671153">
        <w:rPr>
          <w:rFonts w:ascii="Garamond" w:hAnsi="Garamond"/>
        </w:rPr>
        <w:t>• Az adóigazgatási rendtartásról szóló 2017. évi CLI. törvény,</w:t>
      </w:r>
    </w:p>
    <w:p w14:paraId="4144BD3F" w14:textId="0CF282B0" w:rsidR="00671153" w:rsidRPr="00671153" w:rsidRDefault="00671153" w:rsidP="00671153">
      <w:pPr>
        <w:pStyle w:val="NormlWeb"/>
        <w:jc w:val="both"/>
        <w:rPr>
          <w:rFonts w:ascii="Garamond" w:hAnsi="Garamond"/>
        </w:rPr>
      </w:pPr>
      <w:r w:rsidRPr="00671153">
        <w:rPr>
          <w:rFonts w:ascii="Garamond" w:hAnsi="Garamond"/>
        </w:rPr>
        <w:t>• A végrehajtási eljárás során felmerült végrehajtási költségek és végrehajtási költségátalány megállapításának és megfizetésének részletes szabályairól szóló 8/2018. (III.19.) NGM rendelet.</w:t>
      </w:r>
    </w:p>
    <w:p w14:paraId="1D7C1C98" w14:textId="77777777" w:rsidR="00671153" w:rsidRDefault="00671153" w:rsidP="00671153">
      <w:pPr>
        <w:pStyle w:val="NormlWeb"/>
        <w:jc w:val="both"/>
        <w:rPr>
          <w:rStyle w:val="Kiemels2"/>
          <w:rFonts w:ascii="Garamond" w:hAnsi="Garamond"/>
        </w:rPr>
      </w:pPr>
      <w:r w:rsidRPr="00671153">
        <w:rPr>
          <w:rStyle w:val="Kiemels2"/>
          <w:rFonts w:ascii="Garamond" w:hAnsi="Garamond"/>
        </w:rPr>
        <w:t>Benyújtó személye</w:t>
      </w:r>
    </w:p>
    <w:p w14:paraId="051CFE38" w14:textId="2E340A4E" w:rsidR="00671153" w:rsidRPr="00671153" w:rsidRDefault="00671153" w:rsidP="00671153">
      <w:pPr>
        <w:pStyle w:val="NormlWeb"/>
        <w:jc w:val="both"/>
        <w:rPr>
          <w:rFonts w:ascii="Garamond" w:hAnsi="Garamond"/>
        </w:rPr>
      </w:pPr>
      <w:r w:rsidRPr="00671153">
        <w:rPr>
          <w:rFonts w:ascii="Garamond" w:hAnsi="Garamond"/>
        </w:rPr>
        <w:t>Kimutató szerv megkeresésével indul az eljárás.</w:t>
      </w:r>
    </w:p>
    <w:p w14:paraId="4333164E" w14:textId="77777777" w:rsidR="00671153" w:rsidRDefault="00671153" w:rsidP="00671153">
      <w:pPr>
        <w:pStyle w:val="NormlWeb"/>
        <w:jc w:val="both"/>
        <w:rPr>
          <w:rStyle w:val="Kiemels2"/>
          <w:rFonts w:ascii="Garamond" w:hAnsi="Garamond"/>
        </w:rPr>
      </w:pPr>
      <w:r w:rsidRPr="00671153">
        <w:rPr>
          <w:rStyle w:val="Kiemels2"/>
          <w:rFonts w:ascii="Garamond" w:hAnsi="Garamond"/>
        </w:rPr>
        <w:t>Benyújtás formája és módja</w:t>
      </w:r>
    </w:p>
    <w:p w14:paraId="44516623" w14:textId="664D6BF2" w:rsidR="00671153" w:rsidRPr="00671153" w:rsidRDefault="00671153" w:rsidP="00671153">
      <w:pPr>
        <w:pStyle w:val="NormlWeb"/>
        <w:jc w:val="both"/>
        <w:rPr>
          <w:rFonts w:ascii="Garamond" w:hAnsi="Garamond"/>
        </w:rPr>
      </w:pPr>
      <w:r w:rsidRPr="00671153">
        <w:rPr>
          <w:rFonts w:ascii="Garamond" w:hAnsi="Garamond"/>
        </w:rPr>
        <w:t>A kimutató szerv kizárólag elektronikusan, hivatali kapun keresztül vagy e-Papíron nyújthatja be megkeresését.</w:t>
      </w:r>
    </w:p>
    <w:p w14:paraId="3F5CC883" w14:textId="77777777" w:rsidR="00671153" w:rsidRDefault="00671153" w:rsidP="00671153">
      <w:pPr>
        <w:pStyle w:val="NormlWeb"/>
        <w:jc w:val="both"/>
        <w:rPr>
          <w:rStyle w:val="Kiemels2"/>
          <w:rFonts w:ascii="Garamond" w:hAnsi="Garamond"/>
        </w:rPr>
      </w:pPr>
      <w:r w:rsidRPr="00671153">
        <w:rPr>
          <w:rStyle w:val="Kiemels2"/>
          <w:rFonts w:ascii="Garamond" w:hAnsi="Garamond"/>
        </w:rPr>
        <w:t>Eljárás díja</w:t>
      </w:r>
    </w:p>
    <w:p w14:paraId="01C8249C" w14:textId="7A418A1F" w:rsidR="00671153" w:rsidRPr="00671153" w:rsidRDefault="00671153" w:rsidP="00671153">
      <w:pPr>
        <w:pStyle w:val="NormlWeb"/>
        <w:jc w:val="both"/>
        <w:rPr>
          <w:rFonts w:ascii="Garamond" w:hAnsi="Garamond"/>
        </w:rPr>
      </w:pPr>
      <w:r w:rsidRPr="00671153">
        <w:rPr>
          <w:rFonts w:ascii="Garamond" w:hAnsi="Garamond"/>
        </w:rPr>
        <w:t>Az eljárás díjmentes az 1990. évi XCIII. illetékekről szóló törvény értelmében, nem kötelezhető illeték fizetésére az, akit az államigazgatási hatóság külön jogszabály alapján költségmentességben részesített.</w:t>
      </w:r>
    </w:p>
    <w:p w14:paraId="61CC1F38" w14:textId="77777777" w:rsidR="00671153" w:rsidRDefault="00671153" w:rsidP="00671153">
      <w:pPr>
        <w:pStyle w:val="NormlWeb"/>
        <w:jc w:val="both"/>
        <w:rPr>
          <w:rStyle w:val="Kiemels2"/>
          <w:rFonts w:ascii="Garamond" w:hAnsi="Garamond"/>
        </w:rPr>
      </w:pPr>
      <w:r w:rsidRPr="00671153">
        <w:rPr>
          <w:rStyle w:val="Kiemels2"/>
          <w:rFonts w:ascii="Garamond" w:hAnsi="Garamond"/>
        </w:rPr>
        <w:t>Fizetési határidő és számlaszám</w:t>
      </w:r>
      <w:r>
        <w:rPr>
          <w:rStyle w:val="Kiemels2"/>
          <w:rFonts w:ascii="Garamond" w:hAnsi="Garamond"/>
        </w:rPr>
        <w:t xml:space="preserve"> </w:t>
      </w:r>
    </w:p>
    <w:p w14:paraId="76312A9E" w14:textId="2659E5A8" w:rsidR="00671153" w:rsidRPr="00671153" w:rsidRDefault="00671153" w:rsidP="00671153">
      <w:pPr>
        <w:pStyle w:val="NormlWeb"/>
        <w:jc w:val="both"/>
        <w:rPr>
          <w:rFonts w:ascii="Garamond" w:hAnsi="Garamond"/>
        </w:rPr>
      </w:pPr>
      <w:r w:rsidRPr="00671153">
        <w:rPr>
          <w:rFonts w:ascii="Garamond" w:hAnsi="Garamond"/>
        </w:rPr>
        <w:t xml:space="preserve">A végrehajtás során a befolyt összegek az adók módjára behajtandó köztartozások </w:t>
      </w:r>
      <w:proofErr w:type="gramStart"/>
      <w:r w:rsidRPr="00671153">
        <w:rPr>
          <w:rFonts w:ascii="Garamond" w:hAnsi="Garamond"/>
        </w:rPr>
        <w:t>idegen</w:t>
      </w:r>
      <w:proofErr w:type="gramEnd"/>
      <w:r w:rsidRPr="00671153">
        <w:rPr>
          <w:rFonts w:ascii="Garamond" w:hAnsi="Garamond"/>
        </w:rPr>
        <w:t xml:space="preserve"> illetve egyéb számlára kerülnek.</w:t>
      </w:r>
    </w:p>
    <w:p w14:paraId="0E8A7840" w14:textId="77777777" w:rsidR="00671153" w:rsidRDefault="00671153" w:rsidP="00671153">
      <w:pPr>
        <w:pStyle w:val="NormlWeb"/>
        <w:jc w:val="both"/>
        <w:rPr>
          <w:rStyle w:val="Kiemels2"/>
          <w:rFonts w:ascii="Garamond" w:hAnsi="Garamond"/>
        </w:rPr>
      </w:pPr>
      <w:r w:rsidRPr="00671153">
        <w:rPr>
          <w:rStyle w:val="Kiemels2"/>
          <w:rFonts w:ascii="Garamond" w:hAnsi="Garamond"/>
        </w:rPr>
        <w:t>Ügyintézési idő</w:t>
      </w:r>
    </w:p>
    <w:p w14:paraId="573CE736" w14:textId="364EF7F0" w:rsidR="00671153" w:rsidRPr="00671153" w:rsidRDefault="00671153" w:rsidP="00671153">
      <w:pPr>
        <w:pStyle w:val="NormlWeb"/>
        <w:jc w:val="both"/>
        <w:rPr>
          <w:rFonts w:ascii="Garamond" w:hAnsi="Garamond"/>
        </w:rPr>
      </w:pPr>
      <w:r w:rsidRPr="00671153">
        <w:rPr>
          <w:rFonts w:ascii="Garamond" w:hAnsi="Garamond"/>
        </w:rPr>
        <w:t>Az ügyintézési határidő a kimutató szerv általi megkeresést követő napon kezdődik. Ha jogszabály eltérően nem rendelkezik, az ügyintézési határidő harminc nap. Az önkormányzati adóhatóságnak a tartozás beszedéséig, illetve az elévülési határidőig végzi a végrehajtást.</w:t>
      </w:r>
    </w:p>
    <w:p w14:paraId="3359BA48" w14:textId="77777777" w:rsidR="00671153" w:rsidRDefault="00671153" w:rsidP="00671153">
      <w:pPr>
        <w:pStyle w:val="NormlWeb"/>
        <w:jc w:val="both"/>
        <w:rPr>
          <w:rStyle w:val="Kiemels2"/>
          <w:rFonts w:ascii="Garamond" w:hAnsi="Garamond"/>
        </w:rPr>
      </w:pPr>
      <w:r w:rsidRPr="00671153">
        <w:rPr>
          <w:rStyle w:val="Kiemels2"/>
          <w:rFonts w:ascii="Garamond" w:hAnsi="Garamond"/>
        </w:rPr>
        <w:lastRenderedPageBreak/>
        <w:t>Az adók módjára behajtandó köztartozások végrehajtásával kapcsolatos értesítések kézbesítése</w:t>
      </w:r>
    </w:p>
    <w:p w14:paraId="567EDE1B" w14:textId="6D99763B" w:rsidR="00671153" w:rsidRPr="00671153" w:rsidRDefault="00671153" w:rsidP="00671153">
      <w:pPr>
        <w:pStyle w:val="NormlWeb"/>
        <w:jc w:val="both"/>
        <w:rPr>
          <w:rFonts w:ascii="Garamond" w:hAnsi="Garamond"/>
        </w:rPr>
      </w:pPr>
      <w:r w:rsidRPr="00671153">
        <w:rPr>
          <w:rFonts w:ascii="Garamond" w:hAnsi="Garamond"/>
        </w:rPr>
        <w:t xml:space="preserve">Az adóhatóság a végrehajtási eljárás során keletkezett iratokat az írásbeli alapon történő kapcsolattartás esetén hivatalos iratként vagy az </w:t>
      </w:r>
      <w:proofErr w:type="spellStart"/>
      <w:proofErr w:type="gramStart"/>
      <w:r w:rsidRPr="00671153">
        <w:rPr>
          <w:rFonts w:ascii="Garamond" w:hAnsi="Garamond"/>
        </w:rPr>
        <w:t>Eüsztv</w:t>
      </w:r>
      <w:proofErr w:type="spellEnd"/>
      <w:r w:rsidRPr="00671153">
        <w:rPr>
          <w:rFonts w:ascii="Garamond" w:hAnsi="Garamond"/>
        </w:rPr>
        <w:t>.-</w:t>
      </w:r>
      <w:proofErr w:type="gramEnd"/>
      <w:r w:rsidRPr="00671153">
        <w:rPr>
          <w:rFonts w:ascii="Garamond" w:hAnsi="Garamond"/>
        </w:rPr>
        <w:t>ben meghatározott elektronikus úton kézbesíti. Elektronikus kapcsolattartásra nem kötelezett adózó részére, az adózó vagy képviselője adóhatósághoz bejelentett címére, valamint Magyarországon lakóhellyel nem rendelkező külföldi személy magyarországi kézbesítési meghatalmazottja címére kerül feladásra.</w:t>
      </w:r>
    </w:p>
    <w:p w14:paraId="2D554878" w14:textId="3948A9B7" w:rsidR="007A28B5" w:rsidRPr="00671153" w:rsidRDefault="007A28B5" w:rsidP="00671153">
      <w:pPr>
        <w:jc w:val="both"/>
        <w:rPr>
          <w:rFonts w:ascii="Garamond" w:hAnsi="Garamond"/>
          <w:sz w:val="24"/>
          <w:szCs w:val="24"/>
        </w:rPr>
      </w:pPr>
    </w:p>
    <w:sectPr w:rsidR="007A28B5" w:rsidRPr="006711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8B5"/>
    <w:rsid w:val="00210FEC"/>
    <w:rsid w:val="003979DD"/>
    <w:rsid w:val="004A34CF"/>
    <w:rsid w:val="005B43BC"/>
    <w:rsid w:val="005F182C"/>
    <w:rsid w:val="00671153"/>
    <w:rsid w:val="007A28B5"/>
    <w:rsid w:val="00AE336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FC732"/>
  <w15:chartTrackingRefBased/>
  <w15:docId w15:val="{E445BF83-D399-46C4-83A8-1492A86E9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2">
    <w:name w:val="heading 2"/>
    <w:basedOn w:val="Norml"/>
    <w:link w:val="Cmsor2Char"/>
    <w:uiPriority w:val="9"/>
    <w:qFormat/>
    <w:rsid w:val="005B43BC"/>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7A28B5"/>
    <w:rPr>
      <w:color w:val="0563C1" w:themeColor="hyperlink"/>
      <w:u w:val="single"/>
    </w:rPr>
  </w:style>
  <w:style w:type="character" w:styleId="Feloldatlanmegemlts">
    <w:name w:val="Unresolved Mention"/>
    <w:basedOn w:val="Bekezdsalapbettpusa"/>
    <w:uiPriority w:val="99"/>
    <w:semiHidden/>
    <w:unhideWhenUsed/>
    <w:rsid w:val="007A28B5"/>
    <w:rPr>
      <w:color w:val="605E5C"/>
      <w:shd w:val="clear" w:color="auto" w:fill="E1DFDD"/>
    </w:rPr>
  </w:style>
  <w:style w:type="character" w:customStyle="1" w:styleId="Cmsor2Char">
    <w:name w:val="Címsor 2 Char"/>
    <w:basedOn w:val="Bekezdsalapbettpusa"/>
    <w:link w:val="Cmsor2"/>
    <w:uiPriority w:val="9"/>
    <w:rsid w:val="005B43BC"/>
    <w:rPr>
      <w:rFonts w:ascii="Times New Roman" w:eastAsia="Times New Roman" w:hAnsi="Times New Roman" w:cs="Times New Roman"/>
      <w:b/>
      <w:bCs/>
      <w:sz w:val="36"/>
      <w:szCs w:val="36"/>
      <w:lang w:eastAsia="hu-HU"/>
    </w:rPr>
  </w:style>
  <w:style w:type="paragraph" w:styleId="NormlWeb">
    <w:name w:val="Normal (Web)"/>
    <w:basedOn w:val="Norml"/>
    <w:uiPriority w:val="99"/>
    <w:unhideWhenUsed/>
    <w:rsid w:val="005B43B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5B43BC"/>
    <w:rPr>
      <w:b/>
      <w:bCs/>
    </w:rPr>
  </w:style>
  <w:style w:type="character" w:styleId="Mrltotthiperhivatkozs">
    <w:name w:val="FollowedHyperlink"/>
    <w:basedOn w:val="Bekezdsalapbettpusa"/>
    <w:uiPriority w:val="99"/>
    <w:semiHidden/>
    <w:unhideWhenUsed/>
    <w:rsid w:val="00210F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127450">
      <w:bodyDiv w:val="1"/>
      <w:marLeft w:val="0"/>
      <w:marRight w:val="0"/>
      <w:marTop w:val="0"/>
      <w:marBottom w:val="0"/>
      <w:divBdr>
        <w:top w:val="none" w:sz="0" w:space="0" w:color="auto"/>
        <w:left w:val="none" w:sz="0" w:space="0" w:color="auto"/>
        <w:bottom w:val="none" w:sz="0" w:space="0" w:color="auto"/>
        <w:right w:val="none" w:sz="0" w:space="0" w:color="auto"/>
      </w:divBdr>
    </w:div>
    <w:div w:id="1043023388">
      <w:bodyDiv w:val="1"/>
      <w:marLeft w:val="0"/>
      <w:marRight w:val="0"/>
      <w:marTop w:val="0"/>
      <w:marBottom w:val="0"/>
      <w:divBdr>
        <w:top w:val="none" w:sz="0" w:space="0" w:color="auto"/>
        <w:left w:val="none" w:sz="0" w:space="0" w:color="auto"/>
        <w:bottom w:val="none" w:sz="0" w:space="0" w:color="auto"/>
        <w:right w:val="none" w:sz="0" w:space="0" w:color="auto"/>
      </w:divBdr>
    </w:div>
    <w:div w:id="1296059747">
      <w:bodyDiv w:val="1"/>
      <w:marLeft w:val="0"/>
      <w:marRight w:val="0"/>
      <w:marTop w:val="0"/>
      <w:marBottom w:val="0"/>
      <w:divBdr>
        <w:top w:val="none" w:sz="0" w:space="0" w:color="auto"/>
        <w:left w:val="none" w:sz="0" w:space="0" w:color="auto"/>
        <w:bottom w:val="none" w:sz="0" w:space="0" w:color="auto"/>
        <w:right w:val="none" w:sz="0" w:space="0" w:color="auto"/>
      </w:divBdr>
      <w:divsChild>
        <w:div w:id="570384826">
          <w:marLeft w:val="0"/>
          <w:marRight w:val="0"/>
          <w:marTop w:val="0"/>
          <w:marBottom w:val="0"/>
          <w:divBdr>
            <w:top w:val="none" w:sz="0" w:space="0" w:color="auto"/>
            <w:left w:val="none" w:sz="0" w:space="0" w:color="auto"/>
            <w:bottom w:val="none" w:sz="0" w:space="0" w:color="auto"/>
            <w:right w:val="none" w:sz="0" w:space="0" w:color="auto"/>
          </w:divBdr>
          <w:divsChild>
            <w:div w:id="1044448296">
              <w:marLeft w:val="0"/>
              <w:marRight w:val="0"/>
              <w:marTop w:val="0"/>
              <w:marBottom w:val="0"/>
              <w:divBdr>
                <w:top w:val="none" w:sz="0" w:space="0" w:color="auto"/>
                <w:left w:val="none" w:sz="0" w:space="0" w:color="auto"/>
                <w:bottom w:val="none" w:sz="0" w:space="0" w:color="auto"/>
                <w:right w:val="none" w:sz="0" w:space="0" w:color="auto"/>
              </w:divBdr>
            </w:div>
            <w:div w:id="171995750">
              <w:marLeft w:val="0"/>
              <w:marRight w:val="0"/>
              <w:marTop w:val="0"/>
              <w:marBottom w:val="0"/>
              <w:divBdr>
                <w:top w:val="none" w:sz="0" w:space="0" w:color="auto"/>
                <w:left w:val="none" w:sz="0" w:space="0" w:color="auto"/>
                <w:bottom w:val="none" w:sz="0" w:space="0" w:color="auto"/>
                <w:right w:val="none" w:sz="0" w:space="0" w:color="auto"/>
              </w:divBdr>
            </w:div>
            <w:div w:id="1814058548">
              <w:marLeft w:val="0"/>
              <w:marRight w:val="0"/>
              <w:marTop w:val="0"/>
              <w:marBottom w:val="0"/>
              <w:divBdr>
                <w:top w:val="none" w:sz="0" w:space="0" w:color="auto"/>
                <w:left w:val="none" w:sz="0" w:space="0" w:color="auto"/>
                <w:bottom w:val="none" w:sz="0" w:space="0" w:color="auto"/>
                <w:right w:val="none" w:sz="0" w:space="0" w:color="auto"/>
              </w:divBdr>
            </w:div>
            <w:div w:id="616446519">
              <w:marLeft w:val="0"/>
              <w:marRight w:val="0"/>
              <w:marTop w:val="0"/>
              <w:marBottom w:val="0"/>
              <w:divBdr>
                <w:top w:val="none" w:sz="0" w:space="0" w:color="auto"/>
                <w:left w:val="none" w:sz="0" w:space="0" w:color="auto"/>
                <w:bottom w:val="none" w:sz="0" w:space="0" w:color="auto"/>
                <w:right w:val="none" w:sz="0" w:space="0" w:color="auto"/>
              </w:divBdr>
            </w:div>
            <w:div w:id="1774789383">
              <w:marLeft w:val="0"/>
              <w:marRight w:val="0"/>
              <w:marTop w:val="0"/>
              <w:marBottom w:val="0"/>
              <w:divBdr>
                <w:top w:val="none" w:sz="0" w:space="0" w:color="auto"/>
                <w:left w:val="none" w:sz="0" w:space="0" w:color="auto"/>
                <w:bottom w:val="none" w:sz="0" w:space="0" w:color="auto"/>
                <w:right w:val="none" w:sz="0" w:space="0" w:color="auto"/>
              </w:divBdr>
            </w:div>
            <w:div w:id="1521312041">
              <w:marLeft w:val="0"/>
              <w:marRight w:val="0"/>
              <w:marTop w:val="0"/>
              <w:marBottom w:val="0"/>
              <w:divBdr>
                <w:top w:val="none" w:sz="0" w:space="0" w:color="auto"/>
                <w:left w:val="none" w:sz="0" w:space="0" w:color="auto"/>
                <w:bottom w:val="none" w:sz="0" w:space="0" w:color="auto"/>
                <w:right w:val="none" w:sz="0" w:space="0" w:color="auto"/>
              </w:divBdr>
            </w:div>
            <w:div w:id="283198428">
              <w:marLeft w:val="0"/>
              <w:marRight w:val="0"/>
              <w:marTop w:val="0"/>
              <w:marBottom w:val="0"/>
              <w:divBdr>
                <w:top w:val="none" w:sz="0" w:space="0" w:color="auto"/>
                <w:left w:val="none" w:sz="0" w:space="0" w:color="auto"/>
                <w:bottom w:val="none" w:sz="0" w:space="0" w:color="auto"/>
                <w:right w:val="none" w:sz="0" w:space="0" w:color="auto"/>
              </w:divBdr>
            </w:div>
            <w:div w:id="1533953849">
              <w:marLeft w:val="0"/>
              <w:marRight w:val="0"/>
              <w:marTop w:val="0"/>
              <w:marBottom w:val="0"/>
              <w:divBdr>
                <w:top w:val="none" w:sz="0" w:space="0" w:color="auto"/>
                <w:left w:val="none" w:sz="0" w:space="0" w:color="auto"/>
                <w:bottom w:val="none" w:sz="0" w:space="0" w:color="auto"/>
                <w:right w:val="none" w:sz="0" w:space="0" w:color="auto"/>
              </w:divBdr>
            </w:div>
            <w:div w:id="1891191385">
              <w:marLeft w:val="0"/>
              <w:marRight w:val="0"/>
              <w:marTop w:val="0"/>
              <w:marBottom w:val="0"/>
              <w:divBdr>
                <w:top w:val="none" w:sz="0" w:space="0" w:color="auto"/>
                <w:left w:val="none" w:sz="0" w:space="0" w:color="auto"/>
                <w:bottom w:val="none" w:sz="0" w:space="0" w:color="auto"/>
                <w:right w:val="none" w:sz="0" w:space="0" w:color="auto"/>
              </w:divBdr>
            </w:div>
            <w:div w:id="123380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98612">
      <w:bodyDiv w:val="1"/>
      <w:marLeft w:val="0"/>
      <w:marRight w:val="0"/>
      <w:marTop w:val="0"/>
      <w:marBottom w:val="0"/>
      <w:divBdr>
        <w:top w:val="none" w:sz="0" w:space="0" w:color="auto"/>
        <w:left w:val="none" w:sz="0" w:space="0" w:color="auto"/>
        <w:bottom w:val="none" w:sz="0" w:space="0" w:color="auto"/>
        <w:right w:val="none" w:sz="0" w:space="0" w:color="auto"/>
      </w:divBdr>
      <w:divsChild>
        <w:div w:id="614216353">
          <w:marLeft w:val="0"/>
          <w:marRight w:val="0"/>
          <w:marTop w:val="0"/>
          <w:marBottom w:val="0"/>
          <w:divBdr>
            <w:top w:val="none" w:sz="0" w:space="0" w:color="auto"/>
            <w:left w:val="none" w:sz="0" w:space="0" w:color="auto"/>
            <w:bottom w:val="none" w:sz="0" w:space="0" w:color="auto"/>
            <w:right w:val="none" w:sz="0" w:space="0" w:color="auto"/>
          </w:divBdr>
        </w:div>
        <w:div w:id="1127773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325</Words>
  <Characters>2250</Characters>
  <Application>Microsoft Office Word</Application>
  <DocSecurity>0</DocSecurity>
  <Lines>18</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Kozma-Kékesi Gitta</dc:creator>
  <cp:keywords/>
  <dc:description/>
  <cp:lastModifiedBy>Kozma-Kékesi Gitta</cp:lastModifiedBy>
  <cp:revision>2</cp:revision>
  <dcterms:created xsi:type="dcterms:W3CDTF">2022-09-19T11:39:00Z</dcterms:created>
  <dcterms:modified xsi:type="dcterms:W3CDTF">2022-09-19T11:39:00Z</dcterms:modified>
</cp:coreProperties>
</file>